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D0" w:rsidRPr="00890711" w:rsidRDefault="006A17D0" w:rsidP="006A1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711">
        <w:rPr>
          <w:rFonts w:ascii="Times New Roman" w:hAnsi="Times New Roman"/>
          <w:b/>
          <w:sz w:val="28"/>
          <w:szCs w:val="28"/>
        </w:rPr>
        <w:t>РЕГИОНАЛЬНЫЙ ФОНД КАПИТАЛЬНОГО РЕМОНТА</w:t>
      </w:r>
    </w:p>
    <w:p w:rsidR="006A17D0" w:rsidRPr="00890711" w:rsidRDefault="006A17D0" w:rsidP="006A1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711">
        <w:rPr>
          <w:rFonts w:ascii="Times New Roman" w:hAnsi="Times New Roman"/>
          <w:b/>
          <w:sz w:val="28"/>
          <w:szCs w:val="28"/>
        </w:rPr>
        <w:t xml:space="preserve">МНОГОКВАРТИРНЫХ ДОМОВ </w:t>
      </w:r>
      <w:r w:rsidRPr="00890711">
        <w:rPr>
          <w:rFonts w:ascii="Times New Roman" w:hAnsi="Times New Roman"/>
          <w:b/>
          <w:sz w:val="28"/>
          <w:szCs w:val="28"/>
        </w:rPr>
        <w:br/>
        <w:t>НА ТЕРРИТОРИИ КРАСНОЯРСКОГО КРАЯ</w:t>
      </w:r>
    </w:p>
    <w:p w:rsidR="006A17D0" w:rsidRPr="00890711" w:rsidRDefault="006A17D0" w:rsidP="006A1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711">
        <w:rPr>
          <w:rFonts w:ascii="Times New Roman" w:hAnsi="Times New Roman"/>
          <w:sz w:val="28"/>
          <w:szCs w:val="28"/>
        </w:rPr>
        <w:t>ИНН 2466266666 КПП 246601001 ОГРН 1132468055268</w:t>
      </w:r>
    </w:p>
    <w:p w:rsidR="006A17D0" w:rsidRPr="00890711" w:rsidRDefault="006A17D0" w:rsidP="006A1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711">
        <w:rPr>
          <w:rFonts w:ascii="Times New Roman" w:hAnsi="Times New Roman"/>
          <w:sz w:val="28"/>
          <w:szCs w:val="28"/>
        </w:rPr>
        <w:t>город Красноярск ул. Ады Лебедевой, д. 101а</w:t>
      </w:r>
    </w:p>
    <w:p w:rsidR="006A17D0" w:rsidRPr="00890711" w:rsidRDefault="00D47551" w:rsidP="006A1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472.5pt;height:1.5pt" o:hralign="center" o:hrstd="t" o:hrnoshade="t" o:hr="t" fillcolor="black [3213]" stroked="f"/>
        </w:pict>
      </w:r>
    </w:p>
    <w:p w:rsidR="006A17D0" w:rsidRPr="00890711" w:rsidRDefault="006A17D0" w:rsidP="006A1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7D0" w:rsidRPr="00890711" w:rsidRDefault="006A17D0" w:rsidP="006A1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711">
        <w:rPr>
          <w:rFonts w:ascii="Times New Roman" w:hAnsi="Times New Roman"/>
          <w:sz w:val="28"/>
          <w:szCs w:val="28"/>
        </w:rPr>
        <w:t>ПРИКАЗ</w:t>
      </w:r>
    </w:p>
    <w:p w:rsidR="006A17D0" w:rsidRPr="00890711" w:rsidRDefault="006A17D0" w:rsidP="006A17D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890711">
        <w:rPr>
          <w:rFonts w:ascii="Times New Roman" w:hAnsi="Times New Roman"/>
          <w:sz w:val="28"/>
          <w:szCs w:val="28"/>
        </w:rPr>
        <w:t>№</w:t>
      </w:r>
      <w:r w:rsidRPr="00890711">
        <w:rPr>
          <w:rFonts w:ascii="Times New Roman" w:hAnsi="Times New Roman"/>
          <w:sz w:val="28"/>
          <w:szCs w:val="28"/>
        </w:rPr>
        <w:t> </w:t>
      </w:r>
    </w:p>
    <w:p w:rsidR="007766FE" w:rsidRPr="00890711" w:rsidRDefault="007766FE" w:rsidP="007766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6FE" w:rsidRPr="00890711" w:rsidRDefault="007766FE" w:rsidP="0077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</w:t>
      </w:r>
      <w:r w:rsidRPr="00890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осуществления закупки у единственной подрядной организации путем заключения договора о проведении капитального ремонта </w:t>
      </w:r>
    </w:p>
    <w:p w:rsidR="007766FE" w:rsidRPr="00890711" w:rsidRDefault="007766FE" w:rsidP="007766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6FE" w:rsidRPr="00890711" w:rsidRDefault="007766FE" w:rsidP="006A17D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Жилищного </w:t>
      </w:r>
      <w:hyperlink r:id="rId5" w:history="1">
        <w:r w:rsidRPr="008907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89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положений </w:t>
      </w:r>
      <w:r w:rsidR="00890711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8907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711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</w:t>
      </w:r>
      <w:r w:rsidR="0089071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90711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01.07.2016 № 615</w:t>
      </w:r>
      <w:r w:rsidR="006974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0711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7766FE" w:rsidRPr="00890711" w:rsidRDefault="00B52894" w:rsidP="006A17D0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</w:t>
      </w:r>
      <w:r w:rsidR="007766FE"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осуществления закупки у единственной подрядной организации п</w:t>
      </w:r>
      <w:r w:rsidR="007D39F6" w:rsidRPr="00890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утем заключения</w:t>
      </w:r>
      <w:r w:rsidRPr="00890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договора о проведении капитального ремонта согласно приложению</w:t>
      </w:r>
      <w:r w:rsidR="007766FE"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66FE" w:rsidRDefault="009E27D1" w:rsidP="006A17D0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формирования заказа (Е.Л. </w:t>
      </w:r>
      <w:proofErr w:type="spellStart"/>
      <w:r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>Шухат</w:t>
      </w:r>
      <w:proofErr w:type="spellEnd"/>
      <w:r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A17D0"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своевременное </w:t>
      </w:r>
      <w:r w:rsidR="006A17D0" w:rsidRPr="00890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закупки у единственной подрядной организации в порядке, предусмотренном пунктом 1 настоящего приказа</w:t>
      </w:r>
      <w:r w:rsidR="007766FE"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66FE" w:rsidRPr="00890711" w:rsidRDefault="00890711" w:rsidP="00890711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71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приказа оставляю за собой.</w:t>
      </w:r>
    </w:p>
    <w:p w:rsidR="006A17D0" w:rsidRPr="00890711" w:rsidRDefault="006A17D0" w:rsidP="0089071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711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6A17D0" w:rsidRPr="00890711" w:rsidRDefault="006A17D0" w:rsidP="006A17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7D0" w:rsidRPr="00890711" w:rsidRDefault="006A17D0" w:rsidP="006A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0711" w:rsidRDefault="006A17D0" w:rsidP="00890711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dfas9fvegx"/>
      <w:bookmarkEnd w:id="0"/>
      <w:r w:rsidRPr="00890711">
        <w:rPr>
          <w:rFonts w:ascii="Times New Roman" w:hAnsi="Times New Roman"/>
          <w:sz w:val="28"/>
          <w:szCs w:val="28"/>
        </w:rPr>
        <w:t>Генеральный</w:t>
      </w:r>
      <w:r w:rsidRPr="00890711">
        <w:rPr>
          <w:rFonts w:ascii="Times New Roman" w:hAnsi="Times New Roman"/>
          <w:sz w:val="28"/>
          <w:szCs w:val="28"/>
        </w:rPr>
        <w:t> </w:t>
      </w:r>
      <w:r w:rsidRPr="00890711">
        <w:rPr>
          <w:rFonts w:ascii="Times New Roman" w:hAnsi="Times New Roman"/>
          <w:sz w:val="28"/>
          <w:szCs w:val="28"/>
        </w:rPr>
        <w:t>директор Н.И.</w:t>
      </w:r>
      <w:r w:rsidRPr="00890711">
        <w:rPr>
          <w:rFonts w:ascii="Times New Roman" w:hAnsi="Times New Roman"/>
          <w:sz w:val="28"/>
          <w:szCs w:val="28"/>
        </w:rPr>
        <w:t> </w:t>
      </w:r>
      <w:r w:rsidRPr="00890711">
        <w:rPr>
          <w:rFonts w:ascii="Times New Roman" w:hAnsi="Times New Roman"/>
          <w:sz w:val="28"/>
          <w:szCs w:val="28"/>
        </w:rPr>
        <w:t>Авдеева</w:t>
      </w:r>
      <w:r w:rsidRPr="00890711">
        <w:rPr>
          <w:rFonts w:ascii="Times New Roman" w:hAnsi="Times New Roman"/>
          <w:sz w:val="28"/>
          <w:szCs w:val="28"/>
        </w:rPr>
        <w:br/>
      </w:r>
    </w:p>
    <w:p w:rsidR="006A17D0" w:rsidRDefault="006A17D0" w:rsidP="00890711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890711">
        <w:rPr>
          <w:rFonts w:ascii="Times New Roman" w:hAnsi="Times New Roman"/>
          <w:sz w:val="28"/>
          <w:szCs w:val="28"/>
        </w:rPr>
        <w:t xml:space="preserve">С приказом ознакомлен: </w:t>
      </w:r>
    </w:p>
    <w:p w:rsidR="00890711" w:rsidRPr="00890711" w:rsidRDefault="00890711" w:rsidP="00890711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6A17D0" w:rsidRPr="00890711" w:rsidRDefault="006A17D0" w:rsidP="006A17D0">
      <w:pPr>
        <w:spacing w:line="360" w:lineRule="auto"/>
        <w:ind w:left="2410"/>
        <w:rPr>
          <w:rFonts w:ascii="Times New Roman" w:hAnsi="Times New Roman"/>
          <w:sz w:val="28"/>
          <w:szCs w:val="28"/>
        </w:rPr>
      </w:pPr>
      <w:r w:rsidRPr="00890711">
        <w:rPr>
          <w:rFonts w:ascii="Times New Roman" w:hAnsi="Times New Roman"/>
          <w:sz w:val="28"/>
          <w:szCs w:val="28"/>
        </w:rPr>
        <w:t>_____________________________ /________________</w:t>
      </w:r>
    </w:p>
    <w:p w:rsidR="006A17D0" w:rsidRPr="00890711" w:rsidRDefault="006A17D0" w:rsidP="006A17D0">
      <w:pPr>
        <w:spacing w:line="360" w:lineRule="auto"/>
        <w:ind w:left="2410"/>
        <w:rPr>
          <w:rFonts w:ascii="Times New Roman" w:hAnsi="Times New Roman"/>
          <w:sz w:val="28"/>
          <w:szCs w:val="28"/>
        </w:rPr>
      </w:pPr>
      <w:r w:rsidRPr="00890711">
        <w:rPr>
          <w:rFonts w:ascii="Times New Roman" w:hAnsi="Times New Roman"/>
          <w:sz w:val="28"/>
          <w:szCs w:val="28"/>
        </w:rPr>
        <w:t>_____________________________ /________________</w:t>
      </w:r>
    </w:p>
    <w:p w:rsidR="006A17D0" w:rsidRPr="00890711" w:rsidRDefault="006A17D0" w:rsidP="006A17D0">
      <w:pPr>
        <w:spacing w:line="360" w:lineRule="auto"/>
        <w:ind w:left="2410"/>
        <w:rPr>
          <w:rFonts w:ascii="Times New Roman" w:hAnsi="Times New Roman"/>
          <w:sz w:val="28"/>
          <w:szCs w:val="28"/>
        </w:rPr>
      </w:pPr>
      <w:r w:rsidRPr="00890711">
        <w:rPr>
          <w:rFonts w:ascii="Times New Roman" w:hAnsi="Times New Roman"/>
          <w:sz w:val="28"/>
          <w:szCs w:val="28"/>
        </w:rPr>
        <w:t>_____________________________ /________________</w:t>
      </w:r>
    </w:p>
    <w:p w:rsidR="007766FE" w:rsidRPr="005041E7" w:rsidRDefault="006A17D0" w:rsidP="00890711">
      <w:pPr>
        <w:spacing w:line="360" w:lineRule="auto"/>
        <w:ind w:left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11">
        <w:rPr>
          <w:rFonts w:ascii="Times New Roman" w:hAnsi="Times New Roman"/>
          <w:sz w:val="28"/>
          <w:szCs w:val="28"/>
        </w:rPr>
        <w:t>_____________________________ /________________</w:t>
      </w:r>
      <w:r w:rsidR="007766FE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766FE" w:rsidRDefault="007766FE" w:rsidP="00AB3485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</w:t>
      </w:r>
      <w:r w:rsidR="00AB3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ложение к приказу </w:t>
      </w:r>
    </w:p>
    <w:p w:rsidR="00AB3485" w:rsidRPr="005041E7" w:rsidRDefault="00AB3485" w:rsidP="00AB3485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                     №              </w:t>
      </w:r>
    </w:p>
    <w:p w:rsidR="007766FE" w:rsidRPr="005041E7" w:rsidRDefault="007766FE" w:rsidP="007766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6FE" w:rsidRPr="005041E7" w:rsidRDefault="007766FE" w:rsidP="007766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6FE" w:rsidRPr="005041E7" w:rsidRDefault="007766FE" w:rsidP="007766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3"/>
      <w:bookmarkEnd w:id="1"/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52894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рядок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66FE" w:rsidRPr="005041E7" w:rsidRDefault="00B52894" w:rsidP="007766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осуществления закупки у единственной подрядной организации путем заключения договора о проведении капитального ремонта </w:t>
      </w:r>
    </w:p>
    <w:p w:rsidR="007766FE" w:rsidRPr="005041E7" w:rsidRDefault="007766FE" w:rsidP="007766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894" w:rsidRPr="005041E7" w:rsidRDefault="00B52894" w:rsidP="00B5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</w:t>
      </w:r>
      <w:r w:rsidR="00FB3D86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осуществления закупки у единственной подрядной организации путем заключения договора о проведении капитального ремонта 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Порядок) устанавливает условия, процедуру и сроки </w:t>
      </w:r>
      <w:r w:rsidR="00FB3D86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осуществления закупки у единственной подрядной организации путем заключения Региональным фондом капитал</w:t>
      </w:r>
      <w:bookmarkStart w:id="2" w:name="_GoBack"/>
      <w:bookmarkEnd w:id="2"/>
      <w:r w:rsidR="00FB3D86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ьного ремонта многоквартирных домов на территории Красноярского края (далее – Фондом) договора о проведении капитального ремонта </w:t>
      </w:r>
      <w:r w:rsidR="006974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общего имущества в многоквартирном доме</w:t>
      </w:r>
      <w:r w:rsidR="00F06154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закупка)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894" w:rsidRPr="005041E7" w:rsidRDefault="00B52894" w:rsidP="00B5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B3D86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Закупка 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FB3D86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условиями, предусмотренными </w:t>
      </w:r>
      <w:r w:rsidR="00000C0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утвержденным постановлением </w:t>
      </w:r>
      <w:r w:rsidR="00FB3D86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РФ от 01.07.2016 </w:t>
      </w:r>
      <w:r w:rsidR="00000C0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B3D86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615</w:t>
      </w:r>
      <w:r w:rsidR="00A271EC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0C02" w:rsidRPr="005041E7" w:rsidRDefault="00B52894" w:rsidP="00000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00C0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</w:t>
      </w:r>
      <w:r w:rsidR="00AB3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закупки является </w:t>
      </w:r>
      <w:r w:rsidR="00000C0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электронного аукциона несостоявшимся и не</w:t>
      </w:r>
      <w:r w:rsidR="00303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C0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</w:t>
      </w:r>
      <w:r w:rsidR="003037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0C0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 проведении капитального ремонта с единственным участником электронного аукциона (при наличии такого участника) или </w:t>
      </w:r>
      <w:r w:rsidR="008D74A0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не заключении</w:t>
      </w:r>
      <w:r w:rsidR="00000C0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аукциона, заявке которого прис</w:t>
      </w:r>
      <w:r w:rsidR="000D1559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воен второй номер.</w:t>
      </w:r>
    </w:p>
    <w:p w:rsidR="000D1559" w:rsidRPr="005041E7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целях </w:t>
      </w:r>
      <w:r w:rsidR="00F06154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закупки отдел формирования заказа </w:t>
      </w:r>
      <w:r w:rsidR="00A4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после наступления события указанного в пункте 3 настоящего порядка </w:t>
      </w:r>
      <w:r w:rsidR="00F06154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лист согласования </w:t>
      </w:r>
      <w:r w:rsidR="0025037F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заключения договора о проведении капитального ремонта с </w:t>
      </w:r>
      <w:r w:rsidR="009F1414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единственной </w:t>
      </w:r>
      <w:r w:rsidR="0025037F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подрядной организацией</w:t>
      </w:r>
      <w:r w:rsidR="005D7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лист согласования)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037F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листе </w:t>
      </w:r>
      <w:r w:rsidR="005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 </w:t>
      </w:r>
      <w:r w:rsidR="0025037F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номер закупки, которая не состоялась, объект аукциона, </w:t>
      </w:r>
      <w:r w:rsidR="00E7101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завершения работ по краткосрочному плану, </w:t>
      </w:r>
      <w:r w:rsidR="0025037F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максимальная цена, срок выполнения работ, установленный документацией, дата протокола.</w:t>
      </w:r>
      <w:r w:rsidR="0092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листа согласования установлена приложением к настоящему порядку.</w:t>
      </w:r>
      <w:r w:rsidR="005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листу согласования прикладывается документация по которой </w:t>
      </w:r>
      <w:r w:rsidR="002832E1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 вопрос о закупке.</w:t>
      </w:r>
    </w:p>
    <w:p w:rsidR="009F1414" w:rsidRPr="005041E7" w:rsidRDefault="009F1414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согласования </w:t>
      </w:r>
      <w:r w:rsidR="005D7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визируется </w:t>
      </w: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начальниками следующих отделов: отдела формирования заказа, отдела строительного контроля, отдела региональных про</w:t>
      </w:r>
      <w:r w:rsidR="006974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грамм, производственного отдела.</w:t>
      </w:r>
    </w:p>
    <w:p w:rsidR="0025037F" w:rsidRPr="005041E7" w:rsidRDefault="0025037F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14AFD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согласования 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передается на визирование начальнику </w:t>
      </w:r>
      <w:r w:rsidR="009F1414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отдела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в течение </w:t>
      </w:r>
      <w:r w:rsidR="00283E7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рабочего дня после получения 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листа согласования</w:t>
      </w:r>
      <w:r w:rsidR="009F1414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представленную документацию на предмет возможности заключения с единственным подрядчиком либо необходимости внесения изменений в документацию и проведении повторного аукциона.</w:t>
      </w:r>
    </w:p>
    <w:p w:rsidR="0025037F" w:rsidRPr="005041E7" w:rsidRDefault="0025037F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проведении повторного аукциона принимается в случае если по </w:t>
      </w:r>
      <w:r w:rsidR="00283E7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позициям первоначального аукциона указанным в листе согласования требуется внесение изменений (</w:t>
      </w:r>
      <w:r w:rsidR="00922377">
        <w:rPr>
          <w:rFonts w:ascii="Times New Roman" w:hAnsi="Times New Roman" w:cs="Times New Roman"/>
          <w:color w:val="000000" w:themeColor="text1"/>
          <w:sz w:val="28"/>
          <w:szCs w:val="28"/>
        </w:rPr>
        <w:t>такие как</w:t>
      </w:r>
      <w:r w:rsidR="00283E7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: изменение начальной максимальной цены договора, срока выполнения работ, объема работ, внесения изменений в проектную документацию и пр.).</w:t>
      </w:r>
    </w:p>
    <w:p w:rsidR="00283E72" w:rsidRPr="005041E7" w:rsidRDefault="00283E72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заключение договора с единственным подрядчиком возможно без внесения изменений в документацию, начальник отдела визирует лист </w:t>
      </w:r>
      <w:r w:rsidR="009F1414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согласования с проставлением отметки «согласовано».</w:t>
      </w:r>
    </w:p>
    <w:p w:rsidR="0025037F" w:rsidRPr="005041E7" w:rsidRDefault="00814AFD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После визирования листа </w:t>
      </w: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начальниками отделов, поименованн</w:t>
      </w:r>
      <w:r w:rsidR="00283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в п. 4 последний передается </w:t>
      </w: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заместителю генерального директора</w:t>
      </w:r>
      <w:r w:rsidR="00283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курирующему деятельность отдела формирования заказа, который в течение одного рабочего дня утверждает </w:t>
      </w:r>
      <w:r w:rsidR="00E71012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о заключении договора о проведении капитального ремонта с единственной подрядной организацией, либо отказывает в заключении договора о проведении капитального ремонта с единственной подрядной организацией.</w:t>
      </w:r>
    </w:p>
    <w:p w:rsidR="00E71012" w:rsidRPr="005041E7" w:rsidRDefault="00E71012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 в заключении договора о проведении капитального ремонта с единственной подрядной организацией принимается при наличии оснований к внесению изменений в первичную документацию о проведении электронного аукциона и необходимости проведения электронного аукциона повторно.</w:t>
      </w:r>
    </w:p>
    <w:p w:rsidR="008301C7" w:rsidRDefault="003462B3" w:rsidP="00A2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r w:rsidR="005C063D" w:rsidRPr="005C06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основании утвержденного решения о заключении договора о проведении капитального ремонта с единственной подрядной организацией отдел формирования заказа в течение одного рабочего дня готовит извещение о заключении договора о проведении капитального ремонта с единственной подрядной организацией,</w:t>
      </w: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котором указывается: Заказчик, предмет договора, начальная максимальная цена договора</w:t>
      </w:r>
      <w:r w:rsidR="00D65683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срок выполнения работ по договору</w:t>
      </w:r>
      <w:r w:rsidR="003B44DA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адрес в сети интернет по которому доступны для скачивания проект договора, </w:t>
      </w:r>
      <w:r w:rsidR="00A271EC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расчет и обоснование цены договора о проведении капитального ремонта</w:t>
      </w:r>
      <w:r w:rsidR="00A271EC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B44DA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также приложения к нему, предлагаемые для заключения</w:t>
      </w:r>
      <w:r w:rsidR="00D65683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срок в который  подрядные организации могут направлять предложения о заключении договора</w:t>
      </w:r>
      <w:r w:rsidR="003B44DA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65683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462B3" w:rsidRPr="005041E7" w:rsidRDefault="00D65683" w:rsidP="00A2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1A3056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рок</w:t>
      </w:r>
      <w:r w:rsidR="00A271EC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A3056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который </w:t>
      </w: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подрядные организации могут направлять предложения о заключении договора </w:t>
      </w:r>
      <w:r w:rsidR="001A3056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должен составлять не менее 5 дней.</w:t>
      </w:r>
    </w:p>
    <w:p w:rsidR="003B44DA" w:rsidRPr="005041E7" w:rsidRDefault="00D65683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 </w:t>
      </w:r>
      <w:r w:rsidR="003B44DA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Извещение в течение одного дня публикуется на сайте Фонда в разделе закупки и направляется не </w:t>
      </w:r>
      <w:r w:rsidR="001A3056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менее</w:t>
      </w:r>
      <w:r w:rsidR="003B44DA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чем </w:t>
      </w:r>
      <w:r w:rsidR="00C17E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3B44DA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подрядчикам, 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состоящим в реестре квалифицированных подрядных организаций.</w:t>
      </w:r>
    </w:p>
    <w:p w:rsidR="0025037F" w:rsidRPr="005041E7" w:rsidRDefault="00D65683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1A3056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Заявки на заключение договора принимаются Фондом в произвольной форме и регистрирую</w:t>
      </w:r>
      <w:r w:rsidR="001B21C1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1A3056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формирования заказа в журнале заявок в течение </w:t>
      </w:r>
      <w:r w:rsidR="001B21C1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срока,</w:t>
      </w:r>
      <w:r w:rsidR="001A3056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отведенного для их приема.</w:t>
      </w:r>
    </w:p>
    <w:p w:rsidR="00A271EC" w:rsidRPr="005041E7" w:rsidRDefault="001A3056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После </w:t>
      </w:r>
      <w:r w:rsidR="001B21C1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в журнале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заявки отдел </w:t>
      </w:r>
      <w:r w:rsidR="001B21C1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заказа</w:t>
      </w:r>
      <w:r w:rsidR="001B21C1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дня</w:t>
      </w:r>
      <w:r w:rsidR="00A271EC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71EC" w:rsidRPr="005041E7" w:rsidRDefault="00A271EC" w:rsidP="00A2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подрядную организацию на предмет соответствия требованиям</w:t>
      </w:r>
      <w:r w:rsidR="0053451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</w:t>
      </w:r>
      <w:hyperlink r:id="rId6" w:history="1">
        <w:r w:rsidRPr="00504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23</w:t>
        </w:r>
      </w:hyperlink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с учетом предмета договора о проведении капитального ремонта</w:t>
      </w:r>
      <w:r w:rsidR="0053451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факт </w:t>
      </w:r>
      <w:r w:rsidR="00534512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включения такой организации в реестр квалифицированных подрядных организаций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037F" w:rsidRPr="005041E7" w:rsidRDefault="00A271EC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установления соответствия подрядн</w:t>
      </w:r>
      <w:r w:rsidR="00AC63C5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AC63C5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установленным </w:t>
      </w:r>
      <w:hyperlink r:id="rId7" w:history="1">
        <w:r w:rsidRPr="00504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23</w:t>
        </w:r>
      </w:hyperlink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E24799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63C5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799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E24799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включения такой организации в реестр квалифицированных подрядных организаций,</w:t>
      </w:r>
      <w:r w:rsidR="00E24799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1C1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проект договора и направляет его в адрес подрядной организации заявка которой зарегистрирована в журнале первой. </w:t>
      </w:r>
    </w:p>
    <w:p w:rsidR="00AC63C5" w:rsidRPr="005041E7" w:rsidRDefault="00AC63C5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установления </w:t>
      </w:r>
      <w:r w:rsidR="0053451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несоответствия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подрядной организации требованиям установленным </w:t>
      </w:r>
      <w:hyperlink r:id="rId8" w:history="1">
        <w:r w:rsidRPr="00504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23</w:t>
        </w:r>
      </w:hyperlink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E24799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отсутствия</w:t>
      </w:r>
      <w:r w:rsidR="00E24799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такой организации в реестре квалифицированных подрядных организаций,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адрес такой подрядной организации отказ от заключения договора подряда</w:t>
      </w:r>
      <w:r w:rsidR="00534512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, с обоснованием причин принятия такого решения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63C5" w:rsidRPr="005041E7" w:rsidRDefault="00AC63C5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11. Срок заключения договора с</w:t>
      </w:r>
      <w:r w:rsidR="005E2D05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единственной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подрядной организацией не может превышать </w:t>
      </w:r>
      <w:r w:rsidR="008301C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5E2D05" w:rsidRDefault="00534512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5E2D05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незаключения договора с подрядной организацией, заявка которой зарегистрирована в журнале первой</w:t>
      </w:r>
      <w:r w:rsidR="007D39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4799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r w:rsidR="009E27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24799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1C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D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799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5E2D05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установления не соответствия </w:t>
      </w:r>
      <w:r w:rsidR="007D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</w:t>
      </w:r>
      <w:r w:rsidR="005E2D05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подрядной организации требованиям установленным </w:t>
      </w:r>
      <w:hyperlink r:id="rId9" w:history="1">
        <w:r w:rsidR="005E2D05" w:rsidRPr="00504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23</w:t>
        </w:r>
      </w:hyperlink>
      <w:r w:rsidR="005E2D05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</w:t>
      </w:r>
      <w:r w:rsidR="00E24799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и (или) отсутствия</w:t>
      </w:r>
      <w:r w:rsidR="00E24799"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такой организации в реестре квалифицированных подрядных организаций,</w:t>
      </w:r>
      <w:r w:rsidR="00E24799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2D05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формирования заказа направляет договор на подписание с подрядной организацией заявка которой зарегистрирована следующим номером после заявки отклоненной по 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</w:t>
      </w:r>
      <w:r w:rsidR="005E2D05"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предусмотренным 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абзацем 4 пункта 10 порядка</w:t>
      </w:r>
      <w:r w:rsidR="009E2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по которой договор в течение </w:t>
      </w:r>
      <w:r w:rsidR="00377370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9E2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не заключен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74A0" w:rsidRDefault="008D74A0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A30EAC">
        <w:rPr>
          <w:rFonts w:ascii="Times New Roman" w:hAnsi="Times New Roman" w:cs="Times New Roman"/>
          <w:color w:val="000000" w:themeColor="text1"/>
          <w:sz w:val="28"/>
          <w:szCs w:val="28"/>
        </w:rPr>
        <w:t>В день,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за днем заключения договора отдел формирования заказа информирует подрядные организации, заявки которых зарегистрированы позднее </w:t>
      </w:r>
      <w:r w:rsidR="00A30EA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 заключен договор, о заключении такого договора.</w:t>
      </w:r>
    </w:p>
    <w:p w:rsidR="009E27D1" w:rsidRDefault="009E27D1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Отдел формирования заказа ведет реестр договоров</w:t>
      </w:r>
      <w:r w:rsidR="008F4D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заключённых с единственной подрядной организацией.</w:t>
      </w:r>
    </w:p>
    <w:p w:rsidR="00042CBE" w:rsidRDefault="00042CBE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CBE" w:rsidRDefault="00042CBE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370" w:rsidRDefault="003773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22377" w:rsidRPr="00922377" w:rsidRDefault="00922377" w:rsidP="0092237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23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к порядку </w:t>
      </w:r>
      <w:r w:rsidRPr="009223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осуществления закупки у единственной подрядной организации путем заключения договора о проведении капитального ремонта</w:t>
      </w:r>
    </w:p>
    <w:p w:rsidR="00922377" w:rsidRDefault="00922377" w:rsidP="00042C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B0F" w:rsidRDefault="008F3B0F" w:rsidP="00042C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5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 СОГЛАСОВАНИЯ </w:t>
      </w: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ЗАКЛЮЧЕНИЯ ДОГОВОРА </w:t>
      </w:r>
    </w:p>
    <w:p w:rsidR="00042CBE" w:rsidRDefault="008F3B0F" w:rsidP="00042C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41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ПРОВЕДЕНИИ КАПИТАЛЬНОГО РЕМОНТА С ЕДИНСТВЕННОЙ ПОДРЯДНОЙ ОРГАНИЗАЦИЕЙ</w:t>
      </w:r>
    </w:p>
    <w:p w:rsidR="00042CBE" w:rsidRDefault="00042CBE" w:rsidP="00042C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042CBE" w:rsidTr="00207F20">
        <w:tc>
          <w:tcPr>
            <w:tcW w:w="4673" w:type="dxa"/>
          </w:tcPr>
          <w:p w:rsidR="00042CBE" w:rsidRDefault="008F3B0F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42CBE" w:rsidRPr="00504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омер закупки</w:t>
            </w:r>
          </w:p>
        </w:tc>
        <w:tc>
          <w:tcPr>
            <w:tcW w:w="4672" w:type="dxa"/>
          </w:tcPr>
          <w:p w:rsidR="00042CBE" w:rsidRDefault="00042CBE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42CBE" w:rsidTr="00207F20">
        <w:tc>
          <w:tcPr>
            <w:tcW w:w="4673" w:type="dxa"/>
          </w:tcPr>
          <w:p w:rsidR="00042CBE" w:rsidRDefault="008F3B0F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042CBE" w:rsidRPr="00504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 протокола</w:t>
            </w:r>
          </w:p>
        </w:tc>
        <w:tc>
          <w:tcPr>
            <w:tcW w:w="4672" w:type="dxa"/>
          </w:tcPr>
          <w:p w:rsidR="00042CBE" w:rsidRDefault="00042CBE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42CBE" w:rsidTr="00207F20">
        <w:tc>
          <w:tcPr>
            <w:tcW w:w="4673" w:type="dxa"/>
          </w:tcPr>
          <w:p w:rsidR="00042CBE" w:rsidRDefault="008F3B0F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42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 аукциона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(адрес, наименование работ)</w:t>
            </w:r>
          </w:p>
        </w:tc>
        <w:tc>
          <w:tcPr>
            <w:tcW w:w="4672" w:type="dxa"/>
          </w:tcPr>
          <w:p w:rsidR="00042CBE" w:rsidRDefault="00042CBE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42CBE" w:rsidTr="00207F20">
        <w:tc>
          <w:tcPr>
            <w:tcW w:w="4673" w:type="dxa"/>
          </w:tcPr>
          <w:p w:rsidR="00042CBE" w:rsidRDefault="00462FC1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042CBE" w:rsidRPr="00504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завершения</w:t>
            </w:r>
            <w:r w:rsidR="00042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по краткосрочному плану</w:t>
            </w:r>
          </w:p>
        </w:tc>
        <w:tc>
          <w:tcPr>
            <w:tcW w:w="4672" w:type="dxa"/>
          </w:tcPr>
          <w:p w:rsidR="00042CBE" w:rsidRDefault="00042CBE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42CBE" w:rsidTr="00207F20">
        <w:tc>
          <w:tcPr>
            <w:tcW w:w="4673" w:type="dxa"/>
          </w:tcPr>
          <w:p w:rsidR="00042CBE" w:rsidRDefault="00462FC1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НМЦД (руб.),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4672" w:type="dxa"/>
          </w:tcPr>
          <w:p w:rsidR="00042CBE" w:rsidRDefault="00042CBE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42CBE" w:rsidTr="00207F20">
        <w:tc>
          <w:tcPr>
            <w:tcW w:w="4673" w:type="dxa"/>
          </w:tcPr>
          <w:p w:rsidR="00042CBE" w:rsidRDefault="00207F20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средства Фонда</w:t>
            </w:r>
            <w:r w:rsidR="00462F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(руб.)</w:t>
            </w:r>
          </w:p>
        </w:tc>
        <w:tc>
          <w:tcPr>
            <w:tcW w:w="4672" w:type="dxa"/>
          </w:tcPr>
          <w:p w:rsidR="00042CBE" w:rsidRDefault="00042CBE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42CBE" w:rsidTr="00207F20">
        <w:tc>
          <w:tcPr>
            <w:tcW w:w="4673" w:type="dxa"/>
          </w:tcPr>
          <w:p w:rsidR="00042CBE" w:rsidRDefault="00207F20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041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выполнения рабо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т, установленный документацией</w:t>
            </w:r>
          </w:p>
        </w:tc>
        <w:tc>
          <w:tcPr>
            <w:tcW w:w="4672" w:type="dxa"/>
          </w:tcPr>
          <w:p w:rsidR="00042CBE" w:rsidRDefault="00042CBE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42CBE" w:rsidRDefault="00042CBE" w:rsidP="00042C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2CBE" w:rsidRDefault="00207F20" w:rsidP="0090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заключения договора с единственным подрядчиком согласована</w:t>
      </w:r>
      <w:r w:rsidR="009041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07F20" w:rsidRDefault="00207F20" w:rsidP="00042C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9041B1" w:rsidRPr="00AB3485" w:rsidTr="009041B1">
        <w:tc>
          <w:tcPr>
            <w:tcW w:w="3115" w:type="dxa"/>
          </w:tcPr>
          <w:p w:rsidR="009041B1" w:rsidRPr="00AB3485" w:rsidRDefault="009041B1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</w:tcPr>
          <w:p w:rsidR="009041B1" w:rsidRPr="00AB3485" w:rsidRDefault="009041B1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3821" w:type="dxa"/>
          </w:tcPr>
          <w:p w:rsidR="009041B1" w:rsidRPr="00AB3485" w:rsidRDefault="009041B1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4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Согласовано/требуется корректировка документации</w:t>
            </w:r>
          </w:p>
        </w:tc>
      </w:tr>
      <w:tr w:rsidR="00207F20" w:rsidTr="009041B1">
        <w:tc>
          <w:tcPr>
            <w:tcW w:w="3115" w:type="dxa"/>
          </w:tcPr>
          <w:p w:rsidR="008F3B0F" w:rsidRDefault="008F3B0F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F20" w:rsidRDefault="00207F20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формирования заказа</w:t>
            </w:r>
          </w:p>
          <w:p w:rsidR="009041B1" w:rsidRDefault="009041B1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F3B0F" w:rsidRDefault="008F3B0F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F20" w:rsidRDefault="009041B1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Шухат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Е.Л.</w:t>
            </w:r>
          </w:p>
        </w:tc>
        <w:tc>
          <w:tcPr>
            <w:tcW w:w="3821" w:type="dxa"/>
          </w:tcPr>
          <w:p w:rsidR="00207F20" w:rsidRDefault="00207F20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7F20" w:rsidTr="009041B1">
        <w:tc>
          <w:tcPr>
            <w:tcW w:w="3115" w:type="dxa"/>
          </w:tcPr>
          <w:p w:rsidR="008F3B0F" w:rsidRDefault="008F3B0F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F20" w:rsidRDefault="00207F20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строительного контроля</w:t>
            </w:r>
          </w:p>
          <w:p w:rsidR="009041B1" w:rsidRDefault="009041B1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F3B0F" w:rsidRDefault="008F3B0F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F20" w:rsidRDefault="009041B1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Лобода Е.Н.</w:t>
            </w:r>
          </w:p>
        </w:tc>
        <w:tc>
          <w:tcPr>
            <w:tcW w:w="3821" w:type="dxa"/>
          </w:tcPr>
          <w:p w:rsidR="00207F20" w:rsidRDefault="00207F20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7F20" w:rsidTr="009041B1">
        <w:tc>
          <w:tcPr>
            <w:tcW w:w="3115" w:type="dxa"/>
          </w:tcPr>
          <w:p w:rsidR="008F3B0F" w:rsidRDefault="008F3B0F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F20" w:rsidRDefault="00207F20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производственного отдела</w:t>
            </w:r>
          </w:p>
          <w:p w:rsidR="009041B1" w:rsidRDefault="009041B1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F3B0F" w:rsidRDefault="008F3B0F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F20" w:rsidRDefault="008F3B0F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Сняцкий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М.Н.</w:t>
            </w:r>
          </w:p>
        </w:tc>
        <w:tc>
          <w:tcPr>
            <w:tcW w:w="3821" w:type="dxa"/>
          </w:tcPr>
          <w:p w:rsidR="00207F20" w:rsidRDefault="00207F20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7F20" w:rsidTr="009041B1">
        <w:tc>
          <w:tcPr>
            <w:tcW w:w="3115" w:type="dxa"/>
          </w:tcPr>
          <w:p w:rsidR="008F3B0F" w:rsidRDefault="008F3B0F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F20" w:rsidRDefault="00207F20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сметного отдела</w:t>
            </w:r>
          </w:p>
          <w:p w:rsidR="009041B1" w:rsidRDefault="009041B1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F3B0F" w:rsidRDefault="008F3B0F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F20" w:rsidRDefault="009041B1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О.В.</w:t>
            </w:r>
          </w:p>
        </w:tc>
        <w:tc>
          <w:tcPr>
            <w:tcW w:w="3821" w:type="dxa"/>
          </w:tcPr>
          <w:p w:rsidR="00207F20" w:rsidRDefault="00207F20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7F20" w:rsidTr="009041B1">
        <w:tc>
          <w:tcPr>
            <w:tcW w:w="3115" w:type="dxa"/>
          </w:tcPr>
          <w:p w:rsidR="008F3B0F" w:rsidRDefault="008F3B0F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F20" w:rsidRDefault="00207F20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генерального директора</w:t>
            </w:r>
          </w:p>
          <w:p w:rsidR="009041B1" w:rsidRDefault="009041B1" w:rsidP="0090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F3B0F" w:rsidRDefault="008F3B0F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F20" w:rsidRDefault="00207F20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Терещенко</w:t>
            </w:r>
            <w:r w:rsidR="008F3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  <w:tc>
          <w:tcPr>
            <w:tcW w:w="3821" w:type="dxa"/>
          </w:tcPr>
          <w:p w:rsidR="00207F20" w:rsidRDefault="00207F20" w:rsidP="00042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42CBE" w:rsidRPr="00922377" w:rsidRDefault="00042CBE" w:rsidP="008F3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042CBE" w:rsidRPr="00922377" w:rsidSect="009223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054"/>
    <w:multiLevelType w:val="hybridMultilevel"/>
    <w:tmpl w:val="0AACDCC8"/>
    <w:lvl w:ilvl="0" w:tplc="C4989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146B74"/>
    <w:multiLevelType w:val="hybridMultilevel"/>
    <w:tmpl w:val="1D186BEC"/>
    <w:lvl w:ilvl="0" w:tplc="B0DED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AC"/>
    <w:rsid w:val="00000C02"/>
    <w:rsid w:val="00042CBE"/>
    <w:rsid w:val="000D1559"/>
    <w:rsid w:val="001A3056"/>
    <w:rsid w:val="001B21C1"/>
    <w:rsid w:val="001C7F8E"/>
    <w:rsid w:val="00207F20"/>
    <w:rsid w:val="0025037F"/>
    <w:rsid w:val="002832E1"/>
    <w:rsid w:val="00283E72"/>
    <w:rsid w:val="002E67C1"/>
    <w:rsid w:val="003037DD"/>
    <w:rsid w:val="003462B3"/>
    <w:rsid w:val="00352EF2"/>
    <w:rsid w:val="00377370"/>
    <w:rsid w:val="003B44DA"/>
    <w:rsid w:val="00462FC1"/>
    <w:rsid w:val="005041E7"/>
    <w:rsid w:val="00534512"/>
    <w:rsid w:val="005674AC"/>
    <w:rsid w:val="005A76EC"/>
    <w:rsid w:val="005C063D"/>
    <w:rsid w:val="005D7FF8"/>
    <w:rsid w:val="005E2D05"/>
    <w:rsid w:val="00697493"/>
    <w:rsid w:val="006A17D0"/>
    <w:rsid w:val="007766FE"/>
    <w:rsid w:val="007D39F6"/>
    <w:rsid w:val="00814AFD"/>
    <w:rsid w:val="008301C7"/>
    <w:rsid w:val="00890711"/>
    <w:rsid w:val="008D74A0"/>
    <w:rsid w:val="008F3B0F"/>
    <w:rsid w:val="008F4D42"/>
    <w:rsid w:val="009041B1"/>
    <w:rsid w:val="00922377"/>
    <w:rsid w:val="009E27D1"/>
    <w:rsid w:val="009F1414"/>
    <w:rsid w:val="00A271EC"/>
    <w:rsid w:val="00A30EAC"/>
    <w:rsid w:val="00A43EC0"/>
    <w:rsid w:val="00AB3485"/>
    <w:rsid w:val="00AC63C5"/>
    <w:rsid w:val="00B52894"/>
    <w:rsid w:val="00C17E2A"/>
    <w:rsid w:val="00C64FF7"/>
    <w:rsid w:val="00D47551"/>
    <w:rsid w:val="00D65683"/>
    <w:rsid w:val="00E24799"/>
    <w:rsid w:val="00E71012"/>
    <w:rsid w:val="00F06154"/>
    <w:rsid w:val="00F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291F97-9470-419D-8DC8-0CB21080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4AC"/>
    <w:rPr>
      <w:b/>
      <w:bCs/>
    </w:rPr>
  </w:style>
  <w:style w:type="paragraph" w:customStyle="1" w:styleId="ConsPlusNormal">
    <w:name w:val="ConsPlusNormal"/>
    <w:rsid w:val="0077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D15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4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4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1B9E7AA9169ED3A7DEE038AABA5EC4EE9897FA25F941FF2110F709FD518D0505009A1CA09BB5DiAk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1B9E7AA9169ED3A7DEE038AABA5EC4EE9897FA25F941FF2110F709FD518D0505009A1CA09BB5DiAk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1B9E7AA9169ED3A7DEE038AABA5EC4EE9897FA25F941FF2110F709FD518D0505009A1CA09BB5DiAk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FC9425A82C1C9416A2502D9E290EA4B995F934DCFBE100B543251FC22762ADCA10E01AE3b7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1B9E7AA9169ED3A7DEE038AABA5EC4EE9897FA25F941FF2110F709FD518D0505009A1CA09BB5DiA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6</cp:revision>
  <cp:lastPrinted>2017-09-27T04:01:00Z</cp:lastPrinted>
  <dcterms:created xsi:type="dcterms:W3CDTF">2017-09-25T06:20:00Z</dcterms:created>
  <dcterms:modified xsi:type="dcterms:W3CDTF">2017-09-27T04:50:00Z</dcterms:modified>
</cp:coreProperties>
</file>